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6044" w:rsidRPr="001411AD" w:rsidRDefault="003A6044" w:rsidP="003A6044">
      <w:pPr>
        <w:rPr>
          <w:rFonts w:ascii="Arial" w:hAnsi="Arial" w:cs="Arial"/>
          <w:b/>
          <w:sz w:val="24"/>
          <w:szCs w:val="24"/>
        </w:rPr>
      </w:pPr>
      <w:r w:rsidRPr="001411AD">
        <w:rPr>
          <w:rFonts w:ascii="Arial" w:hAnsi="Arial" w:cs="Arial"/>
          <w:b/>
          <w:sz w:val="24"/>
          <w:szCs w:val="24"/>
        </w:rPr>
        <w:t>PART 9:  GENERAL GROUNDS FOR THE REFUSAL OF ENTRY CLEARANCE, LEAVE TO ENTER, LEAVE TO REMAIN, VARIATION OF LEAVE TO ENTER OR REMAIN AND CURTAILMENT OF LEAVE IN JERSEY</w:t>
      </w:r>
    </w:p>
    <w:p w:rsidR="003A6044" w:rsidRPr="00257279" w:rsidRDefault="00284705" w:rsidP="003A6044">
      <w:pPr>
        <w:rPr>
          <w:rFonts w:ascii="Arial" w:hAnsi="Arial" w:cs="Arial"/>
          <w:i/>
          <w:sz w:val="24"/>
          <w:szCs w:val="24"/>
        </w:rPr>
      </w:pPr>
      <w:r w:rsidRPr="00257279">
        <w:rPr>
          <w:rFonts w:ascii="Arial" w:hAnsi="Arial" w:cs="Arial"/>
          <w:b/>
          <w:i/>
          <w:sz w:val="24"/>
          <w:szCs w:val="24"/>
          <w:u w:val="single"/>
        </w:rPr>
        <w:t>Note:</w:t>
      </w:r>
      <w:r w:rsidRPr="00257279">
        <w:rPr>
          <w:rFonts w:ascii="Arial" w:hAnsi="Arial" w:cs="Arial"/>
          <w:i/>
          <w:sz w:val="24"/>
          <w:szCs w:val="24"/>
        </w:rPr>
        <w:t xml:space="preserve"> This amendment to Part 9 of the Jersey Immigration Rules is published for information only at this stage</w:t>
      </w:r>
      <w:r w:rsidR="00257279" w:rsidRPr="00257279">
        <w:rPr>
          <w:rFonts w:ascii="Arial" w:hAnsi="Arial" w:cs="Arial"/>
          <w:i/>
          <w:sz w:val="24"/>
          <w:szCs w:val="24"/>
        </w:rPr>
        <w:t>. The effective date of this change to the rules will be confirmed by a Home Affairs Ministerial D</w:t>
      </w:r>
      <w:r w:rsidR="00B17371">
        <w:rPr>
          <w:rFonts w:ascii="Arial" w:hAnsi="Arial" w:cs="Arial"/>
          <w:i/>
          <w:sz w:val="24"/>
          <w:szCs w:val="24"/>
        </w:rPr>
        <w:t>ecision, in order to ensure the date</w:t>
      </w:r>
      <w:r w:rsidR="00257279" w:rsidRPr="00257279">
        <w:rPr>
          <w:rFonts w:ascii="Arial" w:hAnsi="Arial" w:cs="Arial"/>
          <w:i/>
          <w:sz w:val="24"/>
          <w:szCs w:val="24"/>
        </w:rPr>
        <w:t xml:space="preserve"> corresponds with the commencement of the Jersey EU Settlement Scheme. The Jersey Immigration Rules will then be updated and made available on gov.j</w:t>
      </w:r>
      <w:bookmarkStart w:id="0" w:name="_GoBack"/>
      <w:bookmarkEnd w:id="0"/>
      <w:r w:rsidR="00257279" w:rsidRPr="00257279">
        <w:rPr>
          <w:rFonts w:ascii="Arial" w:hAnsi="Arial" w:cs="Arial"/>
          <w:i/>
          <w:sz w:val="24"/>
          <w:szCs w:val="24"/>
        </w:rPr>
        <w:t>e</w:t>
      </w:r>
    </w:p>
    <w:p w:rsidR="00257279" w:rsidRDefault="00257279" w:rsidP="003A6044">
      <w:pPr>
        <w:rPr>
          <w:rFonts w:ascii="Arial" w:hAnsi="Arial" w:cs="Arial"/>
          <w:sz w:val="24"/>
          <w:szCs w:val="24"/>
        </w:rPr>
      </w:pPr>
    </w:p>
    <w:p w:rsidR="00257279" w:rsidRDefault="00257279" w:rsidP="003A6044">
      <w:pPr>
        <w:rPr>
          <w:rFonts w:ascii="Arial" w:hAnsi="Arial" w:cs="Arial"/>
          <w:sz w:val="24"/>
          <w:szCs w:val="24"/>
        </w:rPr>
      </w:pPr>
      <w:r w:rsidRPr="00257279">
        <w:rPr>
          <w:rFonts w:ascii="Arial" w:hAnsi="Arial" w:cs="Arial"/>
          <w:b/>
          <w:sz w:val="24"/>
          <w:szCs w:val="24"/>
          <w:u w:val="single"/>
        </w:rPr>
        <w:t>Note:</w:t>
      </w:r>
      <w:r>
        <w:rPr>
          <w:rFonts w:ascii="Arial" w:hAnsi="Arial" w:cs="Arial"/>
          <w:sz w:val="24"/>
          <w:szCs w:val="24"/>
        </w:rPr>
        <w:t xml:space="preserve"> The amendment to this part of the rules, to insert paragraph B320, is highlighted. Paragraph 323 is included for context.</w:t>
      </w:r>
    </w:p>
    <w:p w:rsidR="00257279" w:rsidRDefault="00257279" w:rsidP="003A6044">
      <w:pPr>
        <w:pStyle w:val="ListParagraph"/>
        <w:spacing w:after="0" w:line="240" w:lineRule="auto"/>
        <w:ind w:left="0"/>
        <w:jc w:val="both"/>
        <w:rPr>
          <w:rFonts w:cs="Arial"/>
          <w:b/>
          <w:sz w:val="24"/>
          <w:szCs w:val="24"/>
        </w:rPr>
      </w:pPr>
    </w:p>
    <w:p w:rsidR="00257279" w:rsidRDefault="00257279" w:rsidP="003A6044">
      <w:pPr>
        <w:pStyle w:val="ListParagraph"/>
        <w:spacing w:after="0" w:line="240" w:lineRule="auto"/>
        <w:ind w:left="0"/>
        <w:jc w:val="both"/>
        <w:rPr>
          <w:rFonts w:cs="Arial"/>
          <w:b/>
          <w:sz w:val="24"/>
          <w:szCs w:val="24"/>
        </w:rPr>
      </w:pPr>
    </w:p>
    <w:p w:rsidR="003A6044" w:rsidRPr="007B6502" w:rsidRDefault="003A6044" w:rsidP="003A6044">
      <w:pPr>
        <w:pStyle w:val="ListParagraph"/>
        <w:spacing w:after="0" w:line="240" w:lineRule="auto"/>
        <w:ind w:left="0"/>
        <w:jc w:val="both"/>
        <w:rPr>
          <w:rFonts w:cs="Arial"/>
          <w:sz w:val="24"/>
          <w:szCs w:val="24"/>
        </w:rPr>
      </w:pPr>
      <w:r w:rsidRPr="007B6502">
        <w:rPr>
          <w:rFonts w:cs="Arial"/>
          <w:b/>
          <w:sz w:val="24"/>
          <w:szCs w:val="24"/>
        </w:rPr>
        <w:t>Refusal of entry clearance or leave to enter Jersey</w:t>
      </w:r>
    </w:p>
    <w:p w:rsidR="003A6044" w:rsidRPr="007B6502" w:rsidRDefault="003A6044" w:rsidP="003A6044">
      <w:pPr>
        <w:pStyle w:val="ListParagraph"/>
        <w:spacing w:after="0" w:line="240" w:lineRule="auto"/>
        <w:ind w:left="0"/>
        <w:jc w:val="both"/>
        <w:rPr>
          <w:rFonts w:cs="Arial"/>
        </w:rPr>
      </w:pPr>
    </w:p>
    <w:p w:rsidR="003A6044" w:rsidRDefault="003A6044" w:rsidP="003A6044">
      <w:pPr>
        <w:pStyle w:val="ListParagraph"/>
        <w:tabs>
          <w:tab w:val="left" w:pos="709"/>
        </w:tabs>
        <w:spacing w:after="0" w:line="240" w:lineRule="auto"/>
        <w:ind w:left="0"/>
        <w:jc w:val="both"/>
        <w:rPr>
          <w:rFonts w:cs="Arial"/>
          <w:b/>
        </w:rPr>
      </w:pPr>
      <w:r w:rsidRPr="007B6502">
        <w:rPr>
          <w:rFonts w:cs="Arial"/>
          <w:b/>
        </w:rPr>
        <w:t>A320.</w:t>
      </w:r>
      <w:r w:rsidRPr="007B6502">
        <w:rPr>
          <w:rFonts w:cs="Arial"/>
          <w:b/>
        </w:rPr>
        <w:tab/>
      </w:r>
      <w:r w:rsidRPr="007B6502">
        <w:rPr>
          <w:rFonts w:cs="Arial"/>
        </w:rPr>
        <w:t xml:space="preserve">Part 9 (except for paragraph </w:t>
      </w:r>
      <w:r w:rsidRPr="007B6502">
        <w:rPr>
          <w:rFonts w:cs="Arial"/>
          <w:b/>
        </w:rPr>
        <w:t>322(1)</w:t>
      </w:r>
      <w:r w:rsidRPr="007B6502">
        <w:rPr>
          <w:rFonts w:cs="Arial"/>
        </w:rPr>
        <w:t xml:space="preserve">) does not apply to an application for leave to remain on grounds of private life under paragraphs </w:t>
      </w:r>
      <w:r w:rsidRPr="007B6502">
        <w:rPr>
          <w:rFonts w:cs="Arial"/>
          <w:b/>
        </w:rPr>
        <w:t>276ADE-276DH.</w:t>
      </w:r>
    </w:p>
    <w:p w:rsidR="003A6044" w:rsidRDefault="003A6044" w:rsidP="003A6044">
      <w:pPr>
        <w:pStyle w:val="ListParagraph"/>
        <w:tabs>
          <w:tab w:val="left" w:pos="709"/>
        </w:tabs>
        <w:spacing w:after="0" w:line="240" w:lineRule="auto"/>
        <w:ind w:left="0"/>
        <w:jc w:val="both"/>
        <w:rPr>
          <w:rFonts w:cs="Arial"/>
          <w:b/>
        </w:rPr>
      </w:pPr>
    </w:p>
    <w:p w:rsidR="003A6044" w:rsidRPr="0091192A" w:rsidRDefault="003A6044" w:rsidP="003A6044">
      <w:pPr>
        <w:pStyle w:val="ListParagraph"/>
        <w:tabs>
          <w:tab w:val="left" w:pos="709"/>
        </w:tabs>
        <w:spacing w:after="0" w:line="240" w:lineRule="auto"/>
        <w:ind w:left="0"/>
        <w:jc w:val="both"/>
        <w:rPr>
          <w:rFonts w:cs="Arial"/>
        </w:rPr>
      </w:pPr>
      <w:r w:rsidRPr="00FF442F">
        <w:rPr>
          <w:rFonts w:cs="Arial"/>
          <w:b/>
          <w:highlight w:val="yellow"/>
        </w:rPr>
        <w:t xml:space="preserve">B320. </w:t>
      </w:r>
      <w:r w:rsidRPr="00FF442F">
        <w:rPr>
          <w:rFonts w:cs="Arial"/>
          <w:highlight w:val="yellow"/>
        </w:rPr>
        <w:t xml:space="preserve">Part 9 does not apply to applications made under Appendix EU(J), except for paragraph </w:t>
      </w:r>
      <w:r w:rsidRPr="00FF442F">
        <w:rPr>
          <w:rFonts w:cs="Arial"/>
          <w:b/>
          <w:highlight w:val="yellow"/>
        </w:rPr>
        <w:t>323(ii)</w:t>
      </w:r>
      <w:r w:rsidRPr="00FF442F">
        <w:rPr>
          <w:rFonts w:cs="Arial"/>
          <w:highlight w:val="yellow"/>
        </w:rPr>
        <w:t>, which applies to such applications regardless of the application of paragraph 5 of these Rules.</w:t>
      </w:r>
    </w:p>
    <w:p w:rsidR="003A6044" w:rsidRPr="007B6502" w:rsidRDefault="003A6044" w:rsidP="003A6044">
      <w:pPr>
        <w:pStyle w:val="ListParagraph"/>
        <w:tabs>
          <w:tab w:val="left" w:pos="709"/>
        </w:tabs>
        <w:spacing w:after="0" w:line="240" w:lineRule="auto"/>
        <w:ind w:left="0"/>
        <w:jc w:val="both"/>
        <w:rPr>
          <w:rFonts w:cs="Arial"/>
        </w:rPr>
      </w:pPr>
    </w:p>
    <w:p w:rsidR="003A6044" w:rsidRDefault="003A6044" w:rsidP="003A6044">
      <w:pPr>
        <w:tabs>
          <w:tab w:val="left" w:pos="709"/>
        </w:tabs>
        <w:spacing w:after="0" w:line="240" w:lineRule="auto"/>
        <w:jc w:val="both"/>
        <w:rPr>
          <w:rFonts w:ascii="Arial" w:hAnsi="Arial" w:cs="Arial"/>
        </w:rPr>
      </w:pPr>
      <w:r w:rsidRPr="0091192A">
        <w:rPr>
          <w:rFonts w:ascii="Arial" w:hAnsi="Arial" w:cs="Arial"/>
          <w:b/>
        </w:rPr>
        <w:t>320.</w:t>
      </w:r>
      <w:r w:rsidRPr="0091192A">
        <w:rPr>
          <w:rFonts w:ascii="Arial" w:hAnsi="Arial" w:cs="Arial"/>
        </w:rPr>
        <w:tab/>
        <w:t xml:space="preserve">In addition to the grounds for refusal of entry clearance or leave to enter set out in Parts 2-8 of these Rules, and subject to paragraph </w:t>
      </w:r>
      <w:r w:rsidRPr="0091192A">
        <w:rPr>
          <w:rFonts w:ascii="Arial" w:hAnsi="Arial" w:cs="Arial"/>
          <w:b/>
        </w:rPr>
        <w:t xml:space="preserve">321 </w:t>
      </w:r>
      <w:r w:rsidRPr="0091192A">
        <w:rPr>
          <w:rFonts w:ascii="Arial" w:hAnsi="Arial" w:cs="Arial"/>
        </w:rPr>
        <w:t>below, the following grounds for the refusal of entry clearance or leave to enter apply.</w:t>
      </w:r>
    </w:p>
    <w:p w:rsidR="009658ED" w:rsidRDefault="009658ED" w:rsidP="003A6044"/>
    <w:p w:rsidR="003A6044" w:rsidRPr="007B6502" w:rsidRDefault="003A6044" w:rsidP="003A6044">
      <w:pPr>
        <w:pStyle w:val="ListParagraph"/>
        <w:spacing w:after="0" w:line="240" w:lineRule="auto"/>
        <w:ind w:left="0"/>
        <w:jc w:val="both"/>
        <w:rPr>
          <w:rFonts w:cs="Arial"/>
          <w:b/>
          <w:sz w:val="24"/>
          <w:szCs w:val="24"/>
        </w:rPr>
      </w:pPr>
      <w:r w:rsidRPr="007B6502">
        <w:rPr>
          <w:rFonts w:cs="Arial"/>
          <w:b/>
          <w:sz w:val="24"/>
          <w:szCs w:val="24"/>
        </w:rPr>
        <w:t>Grounds on which leave to enter or remain may be curtailed</w:t>
      </w:r>
    </w:p>
    <w:p w:rsidR="003A6044" w:rsidRPr="007B6502" w:rsidRDefault="003A6044" w:rsidP="003A6044">
      <w:pPr>
        <w:pStyle w:val="ListParagraph"/>
        <w:spacing w:after="0" w:line="240" w:lineRule="auto"/>
        <w:ind w:left="0"/>
        <w:jc w:val="both"/>
        <w:rPr>
          <w:rFonts w:cs="Arial"/>
          <w:b/>
          <w:sz w:val="24"/>
          <w:szCs w:val="24"/>
        </w:rPr>
      </w:pPr>
    </w:p>
    <w:p w:rsidR="003A6044" w:rsidRPr="007B6502" w:rsidRDefault="003A6044" w:rsidP="003A6044">
      <w:pPr>
        <w:pStyle w:val="ListParagraph"/>
        <w:numPr>
          <w:ilvl w:val="0"/>
          <w:numId w:val="1"/>
        </w:numPr>
        <w:spacing w:after="0" w:line="240" w:lineRule="auto"/>
        <w:ind w:hanging="720"/>
        <w:jc w:val="both"/>
        <w:rPr>
          <w:rFonts w:cs="Arial"/>
          <w:b/>
          <w:sz w:val="24"/>
          <w:szCs w:val="24"/>
        </w:rPr>
      </w:pPr>
      <w:r w:rsidRPr="007B6502">
        <w:rPr>
          <w:rFonts w:cs="Arial"/>
        </w:rPr>
        <w:t>A person’s leave to enter or remain may be curtailed:</w:t>
      </w:r>
    </w:p>
    <w:p w:rsidR="003A6044" w:rsidRPr="007B6502" w:rsidRDefault="003A6044" w:rsidP="003A6044">
      <w:pPr>
        <w:pStyle w:val="ListParagraph"/>
        <w:spacing w:after="0" w:line="240" w:lineRule="auto"/>
        <w:jc w:val="both"/>
        <w:rPr>
          <w:rFonts w:cs="Arial"/>
        </w:rPr>
      </w:pPr>
    </w:p>
    <w:p w:rsidR="003A6044" w:rsidRPr="007B6502" w:rsidRDefault="003A6044" w:rsidP="003A6044">
      <w:pPr>
        <w:pStyle w:val="ListParagraph"/>
        <w:numPr>
          <w:ilvl w:val="2"/>
          <w:numId w:val="2"/>
        </w:numPr>
        <w:spacing w:after="0" w:line="240" w:lineRule="auto"/>
        <w:ind w:left="709" w:hanging="709"/>
        <w:jc w:val="both"/>
        <w:rPr>
          <w:rFonts w:cs="Arial"/>
          <w:b/>
          <w:sz w:val="24"/>
          <w:szCs w:val="24"/>
        </w:rPr>
      </w:pPr>
      <w:r w:rsidRPr="007B6502">
        <w:rPr>
          <w:rFonts w:cs="Arial"/>
        </w:rPr>
        <w:t xml:space="preserve">on any grounds set out in paragraph </w:t>
      </w:r>
      <w:r w:rsidRPr="007B6502">
        <w:rPr>
          <w:rFonts w:cs="Arial"/>
          <w:b/>
        </w:rPr>
        <w:t xml:space="preserve">322 (2)-(5A) </w:t>
      </w:r>
      <w:r w:rsidRPr="007B6502">
        <w:rPr>
          <w:rFonts w:cs="Arial"/>
        </w:rPr>
        <w:t xml:space="preserve">and </w:t>
      </w:r>
      <w:r w:rsidRPr="007B6502">
        <w:rPr>
          <w:rFonts w:cs="Arial"/>
          <w:b/>
        </w:rPr>
        <w:t xml:space="preserve">12 </w:t>
      </w:r>
      <w:r w:rsidRPr="007B6502">
        <w:rPr>
          <w:rFonts w:cs="Arial"/>
        </w:rPr>
        <w:t>above; or</w:t>
      </w:r>
    </w:p>
    <w:p w:rsidR="003A6044" w:rsidRPr="007B6502" w:rsidRDefault="003A6044" w:rsidP="003A6044">
      <w:pPr>
        <w:pStyle w:val="ListParagraph"/>
        <w:spacing w:after="0" w:line="240" w:lineRule="auto"/>
        <w:ind w:left="709"/>
        <w:jc w:val="both"/>
        <w:rPr>
          <w:rFonts w:cs="Arial"/>
          <w:b/>
          <w:sz w:val="24"/>
          <w:szCs w:val="24"/>
        </w:rPr>
      </w:pPr>
    </w:p>
    <w:p w:rsidR="003A6044" w:rsidRPr="007B6502" w:rsidRDefault="003A6044" w:rsidP="003A6044">
      <w:pPr>
        <w:pStyle w:val="ListParagraph"/>
        <w:numPr>
          <w:ilvl w:val="2"/>
          <w:numId w:val="2"/>
        </w:numPr>
        <w:spacing w:after="0" w:line="240" w:lineRule="auto"/>
        <w:ind w:left="709" w:hanging="709"/>
        <w:jc w:val="both"/>
        <w:rPr>
          <w:rFonts w:cs="Arial"/>
          <w:b/>
          <w:sz w:val="24"/>
          <w:szCs w:val="24"/>
        </w:rPr>
      </w:pPr>
      <w:r w:rsidRPr="007B6502">
        <w:rPr>
          <w:rFonts w:cs="Arial"/>
        </w:rPr>
        <w:t>if he ceases to meet the requirements of the Rules under which his leave to enter or remain was granted; or</w:t>
      </w:r>
    </w:p>
    <w:p w:rsidR="003A6044" w:rsidRPr="007B6502" w:rsidRDefault="003A6044" w:rsidP="003A6044">
      <w:pPr>
        <w:pStyle w:val="ListParagraph"/>
        <w:spacing w:after="0" w:line="240" w:lineRule="auto"/>
        <w:jc w:val="both"/>
        <w:rPr>
          <w:rFonts w:cs="Arial"/>
        </w:rPr>
      </w:pPr>
    </w:p>
    <w:p w:rsidR="003A6044" w:rsidRPr="007B6502" w:rsidRDefault="003A6044" w:rsidP="003A6044">
      <w:pPr>
        <w:pStyle w:val="ListParagraph"/>
        <w:numPr>
          <w:ilvl w:val="2"/>
          <w:numId w:val="2"/>
        </w:numPr>
        <w:spacing w:after="0" w:line="240" w:lineRule="auto"/>
        <w:ind w:left="709" w:hanging="709"/>
        <w:jc w:val="both"/>
        <w:rPr>
          <w:rFonts w:cs="Arial"/>
          <w:b/>
          <w:sz w:val="24"/>
          <w:szCs w:val="24"/>
        </w:rPr>
      </w:pPr>
      <w:r w:rsidRPr="007B6502">
        <w:rPr>
          <w:rFonts w:cs="Arial"/>
        </w:rPr>
        <w:t>his leave to enter or remain is for a purpose not covered by these Rules; or</w:t>
      </w:r>
    </w:p>
    <w:p w:rsidR="003A6044" w:rsidRPr="007B6502" w:rsidRDefault="003A6044" w:rsidP="003A6044">
      <w:pPr>
        <w:pStyle w:val="ListParagraph"/>
        <w:spacing w:after="0" w:line="240" w:lineRule="auto"/>
        <w:jc w:val="both"/>
        <w:rPr>
          <w:rFonts w:cs="Arial"/>
          <w:b/>
          <w:sz w:val="24"/>
          <w:szCs w:val="24"/>
        </w:rPr>
      </w:pPr>
    </w:p>
    <w:p w:rsidR="003A6044" w:rsidRPr="007B6502" w:rsidRDefault="003A6044" w:rsidP="003A6044">
      <w:pPr>
        <w:pStyle w:val="ListParagraph"/>
        <w:numPr>
          <w:ilvl w:val="2"/>
          <w:numId w:val="2"/>
        </w:numPr>
        <w:spacing w:after="0" w:line="240" w:lineRule="auto"/>
        <w:ind w:left="709" w:hanging="709"/>
        <w:jc w:val="both"/>
        <w:rPr>
          <w:rFonts w:cs="Arial"/>
          <w:b/>
          <w:sz w:val="24"/>
          <w:szCs w:val="24"/>
        </w:rPr>
      </w:pPr>
      <w:r w:rsidRPr="007B6502">
        <w:rPr>
          <w:rFonts w:cs="Arial"/>
        </w:rPr>
        <w:t>where a person has, within the first 6 months of being granted leave to enter, committed an offence for which they are subsequently sentenced to a period of imprisonment.</w:t>
      </w:r>
    </w:p>
    <w:p w:rsidR="003A6044" w:rsidRPr="007B6502" w:rsidRDefault="003A6044" w:rsidP="003A6044">
      <w:pPr>
        <w:pStyle w:val="ListParagraph"/>
        <w:tabs>
          <w:tab w:val="left" w:pos="1276"/>
        </w:tabs>
        <w:spacing w:after="0" w:line="240" w:lineRule="auto"/>
        <w:ind w:left="0"/>
        <w:jc w:val="both"/>
        <w:rPr>
          <w:rFonts w:cs="Arial"/>
          <w:b/>
        </w:rPr>
      </w:pPr>
    </w:p>
    <w:p w:rsidR="003A6044" w:rsidRDefault="003A6044" w:rsidP="003A6044"/>
    <w:p w:rsidR="003A6044" w:rsidRDefault="003A6044" w:rsidP="003A6044"/>
    <w:p w:rsidR="003A6044" w:rsidRPr="003A6044" w:rsidRDefault="003A6044" w:rsidP="003A6044"/>
    <w:sectPr w:rsidR="003A6044" w:rsidRPr="003A6044">
      <w:footerReference w:type="even" r:id="rId8"/>
      <w:footerReference w:type="default" r:id="rId9"/>
      <w:footerReference w:type="firs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6044" w:rsidRDefault="003A6044" w:rsidP="003A6044">
      <w:pPr>
        <w:spacing w:after="0" w:line="240" w:lineRule="auto"/>
      </w:pPr>
      <w:r>
        <w:separator/>
      </w:r>
    </w:p>
  </w:endnote>
  <w:endnote w:type="continuationSeparator" w:id="0">
    <w:p w:rsidR="003A6044" w:rsidRDefault="003A6044" w:rsidP="003A60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6044" w:rsidRPr="00EF7EE9" w:rsidRDefault="00B17371" w:rsidP="00EF7EE9">
    <w:pPr>
      <w:pStyle w:val="Footer"/>
      <w:jc w:val="center"/>
    </w:pPr>
    <w:r>
      <w:rPr>
        <w:rFonts w:ascii="Times New Roman" w:hAnsi="Times New Roman" w:cs="Times New Roman"/>
        <w:color w:val="00C000"/>
        <w:sz w:val="24"/>
      </w:rPr>
      <w:fldChar w:fldCharType="begin" w:fldLock="1"/>
    </w:r>
    <w:r>
      <w:rPr>
        <w:rFonts w:ascii="Times New Roman" w:hAnsi="Times New Roman" w:cs="Times New Roman"/>
        <w:color w:val="00C000"/>
        <w:sz w:val="24"/>
      </w:rPr>
      <w:instrText xml:space="preserve"> DOCPROPERTY bjFooterEvenPageDocProperty \* MERGEFORMAT </w:instrText>
    </w:r>
    <w:r>
      <w:rPr>
        <w:rFonts w:ascii="Times New Roman" w:hAnsi="Times New Roman" w:cs="Times New Roman"/>
        <w:color w:val="00C000"/>
        <w:sz w:val="24"/>
      </w:rPr>
      <w:fldChar w:fldCharType="separate"/>
    </w:r>
    <w:r w:rsidR="00EF7EE9" w:rsidRPr="00EF7EE9">
      <w:rPr>
        <w:rFonts w:ascii="Times New Roman" w:hAnsi="Times New Roman" w:cs="Times New Roman"/>
        <w:color w:val="00C000"/>
        <w:sz w:val="24"/>
      </w:rPr>
      <w:t>Official</w:t>
    </w:r>
    <w:r>
      <w:rPr>
        <w:rFonts w:ascii="Times New Roman" w:hAnsi="Times New Roman" w:cs="Times New Roman"/>
        <w:color w:val="00C000"/>
        <w:sz w:val="24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6044" w:rsidRPr="00EF7EE9" w:rsidRDefault="00B17371" w:rsidP="00EF7EE9">
    <w:pPr>
      <w:pStyle w:val="Footer"/>
      <w:jc w:val="center"/>
    </w:pPr>
    <w:r>
      <w:rPr>
        <w:rFonts w:ascii="Times New Roman" w:hAnsi="Times New Roman" w:cs="Times New Roman"/>
        <w:color w:val="00C000"/>
        <w:sz w:val="24"/>
      </w:rPr>
      <w:fldChar w:fldCharType="begin" w:fldLock="1"/>
    </w:r>
    <w:r>
      <w:rPr>
        <w:rFonts w:ascii="Times New Roman" w:hAnsi="Times New Roman" w:cs="Times New Roman"/>
        <w:color w:val="00C000"/>
        <w:sz w:val="24"/>
      </w:rPr>
      <w:instrText xml:space="preserve"> DOCPROPERTY bjFooterBothDocProperty \* MERGEFORMAT </w:instrText>
    </w:r>
    <w:r>
      <w:rPr>
        <w:rFonts w:ascii="Times New Roman" w:hAnsi="Times New Roman" w:cs="Times New Roman"/>
        <w:color w:val="00C000"/>
        <w:sz w:val="24"/>
      </w:rPr>
      <w:fldChar w:fldCharType="separate"/>
    </w:r>
    <w:r w:rsidR="00EF7EE9" w:rsidRPr="00EF7EE9">
      <w:rPr>
        <w:rFonts w:ascii="Times New Roman" w:hAnsi="Times New Roman" w:cs="Times New Roman"/>
        <w:color w:val="00C000"/>
        <w:sz w:val="24"/>
      </w:rPr>
      <w:t>Official</w:t>
    </w:r>
    <w:r>
      <w:rPr>
        <w:rFonts w:ascii="Times New Roman" w:hAnsi="Times New Roman" w:cs="Times New Roman"/>
        <w:color w:val="00C000"/>
        <w:sz w:val="24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6044" w:rsidRPr="00EF7EE9" w:rsidRDefault="00B17371" w:rsidP="00EF7EE9">
    <w:pPr>
      <w:pStyle w:val="Footer"/>
      <w:jc w:val="center"/>
    </w:pPr>
    <w:r>
      <w:rPr>
        <w:rFonts w:ascii="Times New Roman" w:hAnsi="Times New Roman" w:cs="Times New Roman"/>
        <w:color w:val="00C000"/>
        <w:sz w:val="24"/>
      </w:rPr>
      <w:fldChar w:fldCharType="begin" w:fldLock="1"/>
    </w:r>
    <w:r>
      <w:rPr>
        <w:rFonts w:ascii="Times New Roman" w:hAnsi="Times New Roman" w:cs="Times New Roman"/>
        <w:color w:val="00C000"/>
        <w:sz w:val="24"/>
      </w:rPr>
      <w:instrText xml:space="preserve"> DOCPROPERTY bjFooterFirstPageDocProperty \* MERGEFORMAT </w:instrText>
    </w:r>
    <w:r>
      <w:rPr>
        <w:rFonts w:ascii="Times New Roman" w:hAnsi="Times New Roman" w:cs="Times New Roman"/>
        <w:color w:val="00C000"/>
        <w:sz w:val="24"/>
      </w:rPr>
      <w:fldChar w:fldCharType="separate"/>
    </w:r>
    <w:r w:rsidR="00EF7EE9" w:rsidRPr="00EF7EE9">
      <w:rPr>
        <w:rFonts w:ascii="Times New Roman" w:hAnsi="Times New Roman" w:cs="Times New Roman"/>
        <w:color w:val="00C000"/>
        <w:sz w:val="24"/>
      </w:rPr>
      <w:t>Official</w:t>
    </w:r>
    <w:r>
      <w:rPr>
        <w:rFonts w:ascii="Times New Roman" w:hAnsi="Times New Roman" w:cs="Times New Roman"/>
        <w:color w:val="00C000"/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6044" w:rsidRDefault="003A6044" w:rsidP="003A6044">
      <w:pPr>
        <w:spacing w:after="0" w:line="240" w:lineRule="auto"/>
      </w:pPr>
      <w:r>
        <w:separator/>
      </w:r>
    </w:p>
  </w:footnote>
  <w:footnote w:type="continuationSeparator" w:id="0">
    <w:p w:rsidR="003A6044" w:rsidRDefault="003A6044" w:rsidP="003A60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706A27"/>
    <w:multiLevelType w:val="hybridMultilevel"/>
    <w:tmpl w:val="469A1266"/>
    <w:lvl w:ilvl="0" w:tplc="8BA234F4">
      <w:start w:val="1"/>
      <w:numFmt w:val="lowerRoman"/>
      <w:lvlText w:val="(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1004CB7C">
      <w:start w:val="1"/>
      <w:numFmt w:val="lowerRoman"/>
      <w:lvlText w:val="(%3)"/>
      <w:lvlJc w:val="left"/>
      <w:pPr>
        <w:ind w:left="2880" w:hanging="180"/>
      </w:pPr>
      <w:rPr>
        <w:rFonts w:hint="default"/>
        <w:b w:val="0"/>
        <w:sz w:val="22"/>
        <w:szCs w:val="22"/>
      </w:r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51C366F0"/>
    <w:multiLevelType w:val="multilevel"/>
    <w:tmpl w:val="882ED3C6"/>
    <w:lvl w:ilvl="0">
      <w:start w:val="323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044"/>
    <w:rsid w:val="00257279"/>
    <w:rsid w:val="00284705"/>
    <w:rsid w:val="003A6044"/>
    <w:rsid w:val="004D5291"/>
    <w:rsid w:val="00802C8F"/>
    <w:rsid w:val="009658ED"/>
    <w:rsid w:val="00B17371"/>
    <w:rsid w:val="00EF7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E36E85E3-C463-40EA-96DB-25E73B87B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60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A60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6044"/>
  </w:style>
  <w:style w:type="paragraph" w:styleId="Footer">
    <w:name w:val="footer"/>
    <w:basedOn w:val="Normal"/>
    <w:link w:val="FooterChar"/>
    <w:uiPriority w:val="99"/>
    <w:unhideWhenUsed/>
    <w:rsid w:val="003A60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6044"/>
  </w:style>
  <w:style w:type="paragraph" w:styleId="ListParagraph">
    <w:name w:val="List Paragraph"/>
    <w:basedOn w:val="Normal"/>
    <w:uiPriority w:val="34"/>
    <w:qFormat/>
    <w:rsid w:val="003A6044"/>
    <w:pPr>
      <w:spacing w:after="200" w:line="276" w:lineRule="auto"/>
      <w:ind w:left="720"/>
      <w:contextualSpacing/>
    </w:pPr>
    <w:rPr>
      <w:rFonts w:ascii="Arial" w:eastAsia="Calibri" w:hAnsi="Arial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52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52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741ff100-88e3-4c3b-8133-320b20b66409">
  <element uid="id_classification_nonbusiness" value=""/>
</sisl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F095B9CBBD7A499592BC49B5862D9D" ma:contentTypeVersion="0" ma:contentTypeDescription="Create a new document." ma:contentTypeScope="" ma:versionID="6d683766559de45cf653c7ffb06f373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1887D3D-371E-460F-BD8B-EB4802F47B84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062E91D2-B1D5-40FD-8A0A-6230F28B0A5C}"/>
</file>

<file path=customXml/itemProps3.xml><?xml version="1.0" encoding="utf-8"?>
<ds:datastoreItem xmlns:ds="http://schemas.openxmlformats.org/officeDocument/2006/customXml" ds:itemID="{A69FE967-60A3-4729-89CA-6594BB6BEF82}"/>
</file>

<file path=customXml/itemProps4.xml><?xml version="1.0" encoding="utf-8"?>
<ds:datastoreItem xmlns:ds="http://schemas.openxmlformats.org/officeDocument/2006/customXml" ds:itemID="{F50117B2-28AE-47F1-91F7-1C49CE3F7C7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States Of Jersey</Company>
  <LinksUpToDate>false</LinksUpToDate>
  <CharactersWithSpaces>1876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Coenen</dc:creator>
  <cp:keywords/>
  <dc:description/>
  <cp:lastModifiedBy>David Le Marquand</cp:lastModifiedBy>
  <cp:revision>4</cp:revision>
  <cp:lastPrinted>2018-08-14T10:16:00Z</cp:lastPrinted>
  <dcterms:created xsi:type="dcterms:W3CDTF">2018-09-19T11:12:00Z</dcterms:created>
  <dcterms:modified xsi:type="dcterms:W3CDTF">2018-09-19T16:18:00Z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d687143d-0c6d-4ba2-844f-580e4ca53605</vt:lpwstr>
  </property>
  <property fmtid="{D5CDD505-2E9C-101B-9397-08002B2CF9AE}" pid="3" name="bjSaver">
    <vt:lpwstr>qg+dyAztJibyMGC3LdSCPK0cTxvzOK/a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policy="741ff100-88e3-4c3b-8133-320b20b66409" xmlns="http://www.boldonjames.com/2008/01/sie/i</vt:lpwstr>
  </property>
  <property fmtid="{D5CDD505-2E9C-101B-9397-08002B2CF9AE}" pid="5" name="bjDocumentLabelXML-0">
    <vt:lpwstr>nternal/label"&gt;&lt;element uid="id_classification_nonbusiness" value="" /&gt;&lt;/sisl&gt;</vt:lpwstr>
  </property>
  <property fmtid="{D5CDD505-2E9C-101B-9397-08002B2CF9AE}" pid="6" name="bjDocumentSecurityLabel">
    <vt:lpwstr>Official</vt:lpwstr>
  </property>
  <property fmtid="{D5CDD505-2E9C-101B-9397-08002B2CF9AE}" pid="7" name="bjDocumentLabelFieldCode">
    <vt:lpwstr>Official</vt:lpwstr>
  </property>
  <property fmtid="{D5CDD505-2E9C-101B-9397-08002B2CF9AE}" pid="8" name="bjDocumentLabelFieldCodeHeaderFooter">
    <vt:lpwstr>Official</vt:lpwstr>
  </property>
  <property fmtid="{D5CDD505-2E9C-101B-9397-08002B2CF9AE}" pid="9" name="bjFooterBothDocProperty">
    <vt:lpwstr>Official</vt:lpwstr>
  </property>
  <property fmtid="{D5CDD505-2E9C-101B-9397-08002B2CF9AE}" pid="10" name="bjFooterFirstPageDocProperty">
    <vt:lpwstr>Official</vt:lpwstr>
  </property>
  <property fmtid="{D5CDD505-2E9C-101B-9397-08002B2CF9AE}" pid="11" name="bjFooterEvenPageDocProperty">
    <vt:lpwstr>Official</vt:lpwstr>
  </property>
  <property fmtid="{D5CDD505-2E9C-101B-9397-08002B2CF9AE}" pid="12" name="ContentTypeId">
    <vt:lpwstr>0x01010050F095B9CBBD7A499592BC49B5862D9D</vt:lpwstr>
  </property>
</Properties>
</file>